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720"/>
        <w:jc w:val="center"/>
      </w:pPr>
      <w:r>
        <w:rPr>
          <w:rFonts w:ascii="Times New Roman" w:hAnsi="Times New Roman"/>
          <w:b/>
          <w:sz w:val="24"/>
        </w:rPr>
        <w:t>МУНИЦИПАЛЬНОЕ БЮДЖЕТНОЕ УЧРЕЖДЕНИЕ</w:t>
        <w:br/>
        <w:t>«ИНФОРМАЦИОННО-МЕТОДИЧЕСКИЙ ЦЕНТР»</w:t>
        <w:br/>
        <w:t>МУНИЦИПАЛЬНОГО ОБРАЗОВАНИЯ ГОРОДСКОЙ ОКРУГ КЕРЧЬ</w:t>
        <w:br/>
        <w:t>РЕСПУБЛИКИ КРЫМ</w:t>
      </w:r>
    </w:p>
    <w:p/>
    <w:p/>
    <w:p/>
    <w:p/>
    <w:p/>
    <w:p/>
    <w:p>
      <w:pPr>
        <w:jc w:val="center"/>
      </w:pPr>
      <w:r>
        <w:rPr>
          <w:rFonts w:ascii="Times New Roman" w:hAnsi="Times New Roman" w:eastAsia="Times New Roman"/>
          <w:b/>
          <w:sz w:val="36"/>
        </w:rPr>
        <w:t>МЕТОДИЧЕСКИЕ РЕКОМЕНДАЦИИ</w:t>
      </w:r>
    </w:p>
    <w:p>
      <w:pPr>
        <w:spacing w:after="0"/>
        <w:jc w:val="center"/>
      </w:pPr>
      <w:r>
        <w:rPr>
          <w:rFonts w:ascii="Times New Roman" w:hAnsi="Times New Roman" w:eastAsia="Times New Roman"/>
          <w:sz w:val="26"/>
        </w:rPr>
        <w:t>по организации учебного процесса в общеобразовательных организациях:</w:t>
      </w:r>
    </w:p>
    <w:p>
      <w:pPr>
        <w:jc w:val="center"/>
      </w:pPr>
      <w:r>
        <w:rPr>
          <w:rFonts w:ascii="Times New Roman" w:hAnsi="Times New Roman" w:eastAsia="Times New Roman"/>
          <w:i/>
          <w:sz w:val="26"/>
        </w:rPr>
        <w:t>формы работы и структура урока</w:t>
        <w:br/>
        <w:t>с учётом физиологических особенностей обучающихся</w:t>
      </w:r>
    </w:p>
    <w:p/>
    <w:p/>
    <w:p/>
    <w:p/>
    <w:p/>
    <w:p/>
    <w:p>
      <w:pPr>
        <w:jc w:val="center"/>
      </w:pPr>
      <w:r>
        <w:rPr>
          <w:rFonts w:ascii="Times New Roman" w:hAnsi="Times New Roman"/>
          <w:sz w:val="24"/>
        </w:rPr>
        <w:t>г. Керчь</w:t>
        <w:br/>
        <w:t>2026 г.</w:t>
      </w:r>
    </w:p>
    <w:p>
      <w:r>
        <w:br w:type="page"/>
      </w:r>
    </w:p>
    <w:p>
      <w:pPr>
        <w:spacing w:before="0" w:after="200"/>
      </w:pPr>
      <w:r>
        <w:rPr>
          <w:rFonts w:ascii="Times New Roman" w:hAnsi="Times New Roman" w:eastAsia="Times New Roman"/>
          <w:b/>
          <w:sz w:val="28"/>
        </w:rPr>
        <w:t>СОДЕРЖАНИЕ</w:t>
      </w:r>
    </w:p>
    <w:p>
      <w:pPr>
        <w:spacing w:after="40"/>
        <w:ind w:left="283"/>
      </w:pPr>
      <w:r>
        <w:rPr>
          <w:rFonts w:ascii="Times New Roman" w:hAnsi="Times New Roman"/>
          <w:b/>
          <w:sz w:val="24"/>
        </w:rPr>
        <w:t>1. Общие положения</w:t>
      </w:r>
    </w:p>
    <w:p>
      <w:pPr>
        <w:spacing w:after="40"/>
        <w:ind w:left="283"/>
      </w:pPr>
      <w:r>
        <w:rPr>
          <w:rFonts w:ascii="Times New Roman" w:hAnsi="Times New Roman"/>
          <w:b/>
          <w:sz w:val="24"/>
        </w:rPr>
        <w:t>2. Формы организации учебной деятельности: выбор по возрасту и задачам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2.1. Фронтальная форма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2.2. Индивидуальная форма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2.3. Групповая форма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2.4. Проектная форма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2.5. Исследовательская форма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2.6. Сводная таблица: рекомендуемые формы по возрастам</w:t>
      </w:r>
    </w:p>
    <w:p>
      <w:pPr>
        <w:spacing w:after="40"/>
        <w:ind w:left="283"/>
      </w:pPr>
      <w:r>
        <w:rPr>
          <w:rFonts w:ascii="Times New Roman" w:hAnsi="Times New Roman"/>
          <w:b/>
          <w:sz w:val="24"/>
        </w:rPr>
        <w:t>3. Структура урока с учётом физиологических особенностей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3.1. Динамика умственной работоспособности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3.2. Возрастная специфика периодов работоспособности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3.3. Трёхчастная структура урока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3.4. Сводная схема структуры урока</w:t>
      </w:r>
    </w:p>
    <w:p>
      <w:pPr>
        <w:spacing w:after="40"/>
        <w:ind w:left="283"/>
      </w:pPr>
      <w:r>
        <w:rPr>
          <w:rFonts w:ascii="Times New Roman" w:hAnsi="Times New Roman"/>
          <w:sz w:val="24"/>
        </w:rPr>
        <w:t xml:space="preserve">   3.5. Дополнительные рекомендации по структуре урока</w:t>
      </w:r>
    </w:p>
    <w:p>
      <w:pPr>
        <w:spacing w:after="40"/>
        <w:ind w:left="283"/>
      </w:pPr>
      <w:r>
        <w:rPr>
          <w:rFonts w:ascii="Times New Roman" w:hAnsi="Times New Roman"/>
          <w:b/>
          <w:sz w:val="24"/>
        </w:rPr>
        <w:t>4. Контроль и оценка эффективности</w:t>
      </w:r>
    </w:p>
    <w:p>
      <w:pPr>
        <w:spacing w:after="40"/>
        <w:ind w:left="283"/>
      </w:pPr>
      <w:r>
        <w:rPr>
          <w:rFonts w:ascii="Times New Roman" w:hAnsi="Times New Roman"/>
          <w:b/>
          <w:sz w:val="24"/>
        </w:rPr>
        <w:t>5. Краткий чек-лист для учителя</w:t>
      </w:r>
    </w:p>
    <w:p>
      <w:r>
        <w:br w:type="page"/>
      </w:r>
    </w:p>
    <w:p>
      <w:pPr>
        <w:spacing w:before="0" w:after="120"/>
      </w:pPr>
      <w:r>
        <w:rPr>
          <w:rFonts w:ascii="Times New Roman" w:hAnsi="Times New Roman" w:eastAsia="Times New Roman"/>
          <w:b/>
          <w:sz w:val="28"/>
        </w:rPr>
        <w:t>1. Общие положения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Настоящие методические рекомендации адресованы администрации общеобразовательных организаций, методистам и педагогам. Цель документа — помочь выстроить учебный процесс с учётом возрастных психофизиологических особенностей обучающихся, оптимизировать формы учебной работы и структуру урока для поддержания высокой работоспособности и профилактики утомления.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Рекомендации разработаны в соответствии с требованиями Федерального государственного образовательного стандарта начального общего, основного общего и среднего общего образования (ФГОС НОО, ООО, СОО), СанПиН 1.2.3685–21 и СП 2.4.3648–21, а также с учётом современных психолого-педагогических исследований.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Документ может быть использован в качестве ориентира при проектировании уроков, составлении рабочих программ, организации методической работы в школе и проведении внутришкольного контроля.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8"/>
        </w:rPr>
        <w:t>2. Формы организации учебной деятельности: выбор по возрасту и задачам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Выбор формы организации учебной деятельности определяется возрастными особенностями обучающихся, дидактическими целями урока, содержанием учебного материала и уровнем подготовленности класса. Ниже представлены основные формы работы с указанием их преимуществ, ограничений и рекомендаций по применению в разных возрастных группах.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2.1. Фронтальная форма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Учитель работает одновременно со всем классом: объясняет, показывает, организует обсуждение. Все ученики выполняют общее задание в едином темпе.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Преимущества: формирование доверительных отношений между учителем и классом, воспитание коллективизма, возможность учить школьников рассуждать и находить ошибки в рассуждениях товарищей.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Ограничения: ориентирована на «абстрактного» ученика, не учитывает разный уровень подготовленности и темпа работы. Не должна быть единственной формой на уроке.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Когда применять: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Младшая школа (1–4 классы): </w:t>
      </w:r>
      <w:r>
        <w:rPr>
          <w:rFonts w:ascii="Times New Roman" w:hAnsi="Times New Roman" w:eastAsia="Times New Roman"/>
          <w:sz w:val="24"/>
        </w:rPr>
        <w:t>объяснение нового материала, обсуждение, фронтальный опрос. Целесообразна как ведущая форма, но с обязательным включением игровых элементов и частой сменой деятельности.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Основная школа (5–9 классы): </w:t>
      </w:r>
      <w:r>
        <w:rPr>
          <w:rFonts w:ascii="Times New Roman" w:hAnsi="Times New Roman" w:eastAsia="Times New Roman"/>
          <w:sz w:val="24"/>
        </w:rPr>
        <w:t>мотивационные этапы урока, проблемные дискуссии, обобщение и систематизация материала.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Старшая школа (10–11 классы): </w:t>
      </w:r>
      <w:r>
        <w:rPr>
          <w:rFonts w:ascii="Times New Roman" w:hAnsi="Times New Roman" w:eastAsia="Times New Roman"/>
          <w:sz w:val="24"/>
        </w:rPr>
        <w:t>лекционные форматы, проблемные семинары. Доля фронтальной работы снижается в пользу самостоятельной и групповой.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2.2. Индивидуальная форма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Каждый ученик получает задание, подобранное в соответствии с его подготовкой и учебными возможностями. Применима на всех этапах урока: закрепление, повторение, решение задач, подготовка рефератов, исследовательская деятельность.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Когда применять: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Младшая школа: </w:t>
      </w:r>
      <w:r>
        <w:rPr>
          <w:rFonts w:ascii="Times New Roman" w:hAnsi="Times New Roman" w:eastAsia="Times New Roman"/>
          <w:sz w:val="24"/>
        </w:rPr>
        <w:t>короткие самостоятельные задания (5–10 минут), дифференцированные по уровню сложности.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Основная школа: </w:t>
      </w:r>
      <w:r>
        <w:rPr>
          <w:rFonts w:ascii="Times New Roman" w:hAnsi="Times New Roman" w:eastAsia="Times New Roman"/>
          <w:sz w:val="24"/>
        </w:rPr>
        <w:t>самостоятельная отработка навыков, подготовка индивидуальных сообщений, первые шаги в проектной деятельности.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Старшая школа: </w:t>
      </w:r>
      <w:r>
        <w:rPr>
          <w:rFonts w:ascii="Times New Roman" w:hAnsi="Times New Roman" w:eastAsia="Times New Roman"/>
          <w:sz w:val="24"/>
        </w:rPr>
        <w:t>основная форма работы — индивидуальные проекты, исследования, подготовка к ГИА, самообразование.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2.3. Групповая форма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Класс делится на группы для решения конкретных учебных задач. Каждая группа получает определённое задание (одинаковое или дифференцированное) и выполняет его сообща.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Разновидности: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Парная — </w:t>
      </w:r>
      <w:r>
        <w:rPr>
          <w:rFonts w:ascii="Times New Roman" w:hAnsi="Times New Roman" w:eastAsia="Times New Roman"/>
          <w:sz w:val="24"/>
        </w:rPr>
        <w:t>два ученика выполняют часть работы вместе. Универсальна для любых дидактических целей.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Кооперативно-групповая — </w:t>
      </w:r>
      <w:r>
        <w:rPr>
          <w:rFonts w:ascii="Times New Roman" w:hAnsi="Times New Roman" w:eastAsia="Times New Roman"/>
          <w:sz w:val="24"/>
        </w:rPr>
        <w:t>малые группы объединены общей целью; результат каждой группы становится частью общего решения и обсуждается всем классом.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Дифференцированно-групповая — </w:t>
      </w:r>
      <w:r>
        <w:rPr>
          <w:rFonts w:ascii="Times New Roman" w:hAnsi="Times New Roman" w:eastAsia="Times New Roman"/>
          <w:sz w:val="24"/>
        </w:rPr>
        <w:t>группы формируются с учётом разных учебных возможностей; задания подбираются по уровню.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Когда применять: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Младшая школа: </w:t>
      </w:r>
      <w:r>
        <w:rPr>
          <w:rFonts w:ascii="Times New Roman" w:hAnsi="Times New Roman" w:eastAsia="Times New Roman"/>
          <w:sz w:val="24"/>
        </w:rPr>
        <w:t>парная работа начиная со 2 класса (взаимопроверка, совместное выполнение коротких заданий). Группы из 3–4 человек — с 3 класса. Важно учить детей распределять роли.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Основная школа: </w:t>
      </w:r>
      <w:r>
        <w:rPr>
          <w:rFonts w:ascii="Times New Roman" w:hAnsi="Times New Roman" w:eastAsia="Times New Roman"/>
          <w:sz w:val="24"/>
        </w:rPr>
        <w:t>приоритетная форма для проектной и исследовательской деятельности, практических и лабораторных работ, подготовки докладов и конференций.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Старшая школа: </w:t>
      </w:r>
      <w:r>
        <w:rPr>
          <w:rFonts w:ascii="Times New Roman" w:hAnsi="Times New Roman" w:eastAsia="Times New Roman"/>
          <w:sz w:val="24"/>
        </w:rPr>
        <w:t>проектные команды, дискуссионные группы, ролевые и деловые игры, защита проектов.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2.4. Проектная форма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Совместная учебно-познавательная, творческая или игровая деятельность, имеющая общую цель, согласованные методы и направленная на достижение конкретного результата (продукта). Обязательное условие — заранее выработанное представление о конечном продукте.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Этапы работы над проектом: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1. </w:t>
      </w:r>
      <w:r>
        <w:rPr>
          <w:rFonts w:ascii="Times New Roman" w:hAnsi="Times New Roman" w:eastAsia="Times New Roman"/>
          <w:sz w:val="24"/>
        </w:rPr>
        <w:t>Постановка цели, выявление проблемы, формулировка задач.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2. </w:t>
      </w:r>
      <w:r>
        <w:rPr>
          <w:rFonts w:ascii="Times New Roman" w:hAnsi="Times New Roman" w:eastAsia="Times New Roman"/>
          <w:sz w:val="24"/>
        </w:rPr>
        <w:t>Обсуждение вариантов, выбор способов, распределение обязанностей.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3. </w:t>
      </w:r>
      <w:r>
        <w:rPr>
          <w:rFonts w:ascii="Times New Roman" w:hAnsi="Times New Roman" w:eastAsia="Times New Roman"/>
          <w:sz w:val="24"/>
        </w:rPr>
        <w:t>Самообразование при помощи учителя.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4. </w:t>
      </w:r>
      <w:r>
        <w:rPr>
          <w:rFonts w:ascii="Times New Roman" w:hAnsi="Times New Roman" w:eastAsia="Times New Roman"/>
          <w:sz w:val="24"/>
        </w:rPr>
        <w:t>Осуществление деятельности (исследование, компоновка).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5. </w:t>
      </w:r>
      <w:r>
        <w:rPr>
          <w:rFonts w:ascii="Times New Roman" w:hAnsi="Times New Roman" w:eastAsia="Times New Roman"/>
          <w:sz w:val="24"/>
        </w:rPr>
        <w:t>Обобщение результатов, выводы.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6. </w:t>
      </w:r>
      <w:r>
        <w:rPr>
          <w:rFonts w:ascii="Times New Roman" w:hAnsi="Times New Roman" w:eastAsia="Times New Roman"/>
          <w:sz w:val="24"/>
        </w:rPr>
        <w:t>Анализ успехов и ошибок, коррекция.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Возрастная специфика: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Начальная школа: </w:t>
      </w:r>
      <w:r>
        <w:rPr>
          <w:rFonts w:ascii="Times New Roman" w:hAnsi="Times New Roman" w:eastAsia="Times New Roman"/>
          <w:sz w:val="24"/>
        </w:rPr>
        <w:t>длительность проекта — 1–2 недели или 1–2 сдвоенных урока. Темы выбираются совместно с учителем. Желательно включать экскурсии, наблюдения, социальные акции. В 3 классе — один проект, в 4 классе — два.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Основная школа: </w:t>
      </w:r>
      <w:r>
        <w:rPr>
          <w:rFonts w:ascii="Times New Roman" w:hAnsi="Times New Roman" w:eastAsia="Times New Roman"/>
          <w:sz w:val="24"/>
        </w:rPr>
        <w:t>преимущественно групповые проекты. Не следует лишать ученика выбора индивидуальной формы. Длительность — от нескольких недель до месяца. Обязательна публичная защита.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Старшая школа: </w:t>
      </w:r>
      <w:r>
        <w:rPr>
          <w:rFonts w:ascii="Times New Roman" w:hAnsi="Times New Roman" w:eastAsia="Times New Roman"/>
          <w:sz w:val="24"/>
        </w:rPr>
        <w:t>индивидуальный проект (1 учебный час еженедельно). Возможны одно- или двухгодичные итоговые проекты. Сотрудничество с вузами, технопарками, бизнес-структурами.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2.5. Исследовательская форма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Деятельность, связанная с решением творческой задачи с заранее неизвестным решением, предполагающая основные этапы научного исследования: постановку проблемы, изучение теории, подбор методик, сбор собственного материала, анализ и обобщение, выводы.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Когда применять: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Младшая школа: </w:t>
      </w:r>
      <w:r>
        <w:rPr>
          <w:rFonts w:ascii="Times New Roman" w:hAnsi="Times New Roman" w:eastAsia="Times New Roman"/>
          <w:sz w:val="24"/>
        </w:rPr>
        <w:t>элементы исследования на традиционных уроках начиная со 2 класса — целеполагание, формулирование вопросов, рефлексия, планирование.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Основная школа: </w:t>
      </w:r>
      <w:r>
        <w:rPr>
          <w:rFonts w:ascii="Times New Roman" w:hAnsi="Times New Roman" w:eastAsia="Times New Roman"/>
          <w:sz w:val="24"/>
        </w:rPr>
        <w:t>урок-исследование, урок-лаборатория, учебный эксперимент, домашнее задание исследовательского характера.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Старшая школа: </w:t>
      </w:r>
      <w:r>
        <w:rPr>
          <w:rFonts w:ascii="Times New Roman" w:hAnsi="Times New Roman" w:eastAsia="Times New Roman"/>
          <w:sz w:val="24"/>
        </w:rPr>
        <w:t>полноценные учебно-исследовательские работы с защитой, сотрудничество с научными учреждениями.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2.6. Сводная таблица: рекомендуемые формы по возрастам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22"/>
        <w:gridCol w:w="2422"/>
        <w:gridCol w:w="2422"/>
        <w:gridCol w:w="2422"/>
      </w:tblGrid>
      <w:tr>
        <w:tc>
          <w:tcPr>
            <w:tcW w:type="dxa" w:w="1701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Возрастная группа</w:t>
            </w:r>
          </w:p>
        </w:tc>
        <w:tc>
          <w:tcPr>
            <w:tcW w:type="dxa" w:w="1984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Ведущие формы</w:t>
            </w:r>
          </w:p>
        </w:tc>
        <w:tc>
          <w:tcPr>
            <w:tcW w:type="dxa" w:w="2268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Дополнительные формы</w:t>
            </w:r>
          </w:p>
        </w:tc>
        <w:tc>
          <w:tcPr>
            <w:tcW w:type="dxa" w:w="3118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Особые рекомендации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1–4 классы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Фронтальная, индивидуальная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Парная (с 2 кл.), элементы проектной (с 3 кл.)</w:t>
            </w:r>
          </w:p>
        </w:tc>
        <w:tc>
          <w:tcPr>
            <w:tcW w:type="dxa" w:w="311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Частая смена деятельности (через 7–10 мин), игровые элементы, наглядность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5–9 классы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Групповая, индивидуальная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Фронтальная, проектная, исследовательская</w:t>
            </w:r>
          </w:p>
        </w:tc>
        <w:tc>
          <w:tcPr>
            <w:tcW w:type="dxa" w:w="311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Учёт избирательности интересов, разновозрастное взаимодействие во внеурочной деятельности</w:t>
            </w:r>
          </w:p>
        </w:tc>
      </w:tr>
      <w:tr>
        <w:tc>
          <w:tcPr>
            <w:tcW w:type="dxa" w:w="1701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10–11 классы</w:t>
            </w:r>
          </w:p>
        </w:tc>
        <w:tc>
          <w:tcPr>
            <w:tcW w:type="dxa" w:w="1984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Индивидуальная, проектная, исследовательская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Групповая, фронтальная (лекции, семинары)</w:t>
            </w:r>
          </w:p>
        </w:tc>
        <w:tc>
          <w:tcPr>
            <w:tcW w:type="dxa" w:w="311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Профессиональная ориентация, самостоятельная постановка учебных задач</w:t>
            </w:r>
          </w:p>
        </w:tc>
      </w:tr>
    </w:tbl>
    <w:p>
      <w:r>
        <w:br w:type="page"/>
      </w:r>
    </w:p>
    <w:p>
      <w:pPr>
        <w:spacing w:before="0" w:after="120"/>
      </w:pPr>
      <w:r>
        <w:rPr>
          <w:rFonts w:ascii="Times New Roman" w:hAnsi="Times New Roman" w:eastAsia="Times New Roman"/>
          <w:b/>
          <w:sz w:val="28"/>
        </w:rPr>
        <w:t>3. Структура урока с учётом физиологических особенностей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3.1. Динамика умственной работоспособности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Организацию образовательного процесса рекомендуется строить с учётом физиологических принципов динамики умственной работоспособности обучающихся. В течение урока работоспособность проходит три закономерных периода.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Период врабатывания. Постепенное повышение работоспособности. Организм ищет наиболее адекватные варианты функционирования — период значительного напряжения и высоких энергозатрат. Работоспособность пока неустойчива, эффективность невысока.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Период оптимальной (высокой устойчивой) работоспособности. Организм работает наиболее эффективно в оптимальном режиме. Высокая устойчивая работоспособность не требует чрезмерных усилий, снижается напряжение, повышается согласованность систем.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Период утомления. Закономерное снижение работоспособности. Сначала снижается качество, затем количество работы. Выделяют стадии: неполной компенсации, «конечного порыва» и прогрессивного падения.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3.2. Возрастная специфика периодов работоспособности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41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Возраст</w:t>
            </w:r>
          </w:p>
        </w:tc>
        <w:tc>
          <w:tcPr>
            <w:tcW w:type="dxa" w:w="141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Врабатывание</w:t>
            </w:r>
          </w:p>
        </w:tc>
        <w:tc>
          <w:tcPr>
            <w:tcW w:type="dxa" w:w="141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Оптимум</w:t>
            </w:r>
          </w:p>
        </w:tc>
        <w:tc>
          <w:tcPr>
            <w:tcW w:type="dxa" w:w="141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Начало спада</w:t>
            </w:r>
          </w:p>
        </w:tc>
        <w:tc>
          <w:tcPr>
            <w:tcW w:type="dxa" w:w="3402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Особенности</w:t>
            </w:r>
          </w:p>
        </w:tc>
      </w:tr>
      <w:tr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6–7 лет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1,5–3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15–17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~20 мин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Длительный адаптационный период (6–8 недель)</w:t>
            </w:r>
          </w:p>
        </w:tc>
      </w:tr>
      <w:tr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8–10 лет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3–5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20–25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~30 мин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Период оптимума удлиняется</w:t>
            </w:r>
          </w:p>
        </w:tc>
      </w:tr>
      <w:tr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11–14 лет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5–7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25–30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~35–40 мин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Низкая и неустойчивая работоспособность в пубертате</w:t>
            </w:r>
          </w:p>
        </w:tc>
      </w:tr>
      <w:tr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15–18 лет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5–7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30–35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~40–45 мин</w:t>
            </w:r>
          </w:p>
        </w:tc>
        <w:tc>
          <w:tcPr>
            <w:tcW w:type="dxa" w:w="3402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Стабилизация познавательных процессов</w:t>
            </w:r>
          </w:p>
        </w:tc>
      </w:tr>
    </w:tbl>
    <w:p>
      <w:pPr>
        <w:spacing w:after="20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Важно: у медлительных детей период врабатывания в 1,5–2 раза продолжительнее. У часто болеющих и детей с хроническими заболеваниями — низкая и неустойчивая работоспособность, удлинённое врабатывание, быстрое наступление утомления.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3.3. Трёхчастная структура урока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Урок, организованный на основе принципов здоровьесбережения, рекомендуется делить на три части, различающиеся по продолжительности, объёму нагрузки и видам деятельности.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4"/>
        </w:rPr>
        <w:t>Этап 1. Врабатывание (7–10 минут)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Цель: постепенное включение обучающихся в учебную деятельность, достижение готовности к восприятию основной нагрузки.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Рекомендуемое содержание: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Организационный момент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Проверка домашнего задания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Повторение ранее пройденного материала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Упражнения, направленные на достижение врабатывания организма к основной части урока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Формы работы: фронтальная (опрос, беседа), парная (взаимопроверка домашнего задания).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Принцип: нагрузка относительно невелика, деятельность репродуктивная, переходящая в продуктивную.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4"/>
        </w:rPr>
        <w:t>Этап 2. Оптимальная работоспособность (20–30 минут)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Цель: усвоение нового материала, решение основных учебных задач, максимальная интеллектуальная нагрузка.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Рекомендуемое содержание: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Изложение нового материала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Контрольные и проверочные работы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Практические и лабораторные работы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Решение задач повышенной сложности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Формы работы: фронтальная (объяснение), групповая (практикум), индивидуальная (самостоятельное решение), проектная (работа над этапом проекта).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Принцип: максимальная нагрузка, продуктивная и творческая деятельность. Эффективность усвоения — 80% (5–25-я минуты урока).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Физкультминутка: в середине этапа (примерно через 20 минут от начала урока) — 2-минутный перерыв для комплекса упражнений с целью профилактики зрительного утомления, снятия напряжения с мышц шеи, плечевого пояса и туловища.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4"/>
        </w:rPr>
        <w:t>Этап 3. Утомление / заключительная часть (5–7 минут)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Цель: закрепление и тренировочное воспроизводство, подведение итогов.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Рекомендуемое содержание: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Закрепление пройденного материала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Тренировочные упражнения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Рефлексия, подведение итогов урока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Комментированное домашнее задание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Формы работы: фронтальная (обсуждение), индивидуальная (короткие задания на закрепление), парная (взаимооценка).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Принцип: нагрузка снижена, деятельность репродуктивная. Эффективность усвоения — 10% на 35–40-й минуте.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3.4. Сводная схема структуры урока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38"/>
        <w:gridCol w:w="1938"/>
        <w:gridCol w:w="1938"/>
        <w:gridCol w:w="1938"/>
        <w:gridCol w:w="1938"/>
      </w:tblGrid>
      <w:tr>
        <w:tc>
          <w:tcPr>
            <w:tcW w:type="dxa" w:w="158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Этап</w:t>
            </w:r>
          </w:p>
        </w:tc>
        <w:tc>
          <w:tcPr>
            <w:tcW w:type="dxa" w:w="158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Время</w:t>
            </w:r>
          </w:p>
        </w:tc>
        <w:tc>
          <w:tcPr>
            <w:tcW w:type="dxa" w:w="1417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Нагрузка</w:t>
            </w:r>
          </w:p>
        </w:tc>
        <w:tc>
          <w:tcPr>
            <w:tcW w:type="dxa" w:w="2268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Виды деятельности</w:t>
            </w:r>
          </w:p>
        </w:tc>
        <w:tc>
          <w:tcPr>
            <w:tcW w:type="dxa" w:w="2268"/>
            <w:shd w:fill="D9E2F3"/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/>
                <w:sz w:val="20"/>
              </w:rPr>
              <w:t>Рекомендуемые формы</w:t>
            </w:r>
          </w:p>
        </w:tc>
      </w:tr>
      <w:tr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Врабатывание</w:t>
            </w:r>
          </w:p>
        </w:tc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7–10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Невысокая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Повторение, проверка ДЗ, оргмомент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Фронтальная, парная</w:t>
            </w:r>
          </w:p>
        </w:tc>
      </w:tr>
      <w:tr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Оптимум</w:t>
            </w:r>
          </w:p>
        </w:tc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20–30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Максимальная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Новый материал, практика, контроль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Фронтальная, групповая, индивидуальная</w:t>
            </w:r>
          </w:p>
        </w:tc>
      </w:tr>
      <w:tr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Физкультминутка</w:t>
            </w:r>
          </w:p>
        </w:tc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2 мин (в середине оптимума)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Сниженная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Двигательные упражнения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—</w:t>
            </w:r>
          </w:p>
        </w:tc>
      </w:tr>
      <w:tr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Заключительная часть</w:t>
            </w:r>
          </w:p>
        </w:tc>
        <w:tc>
          <w:tcPr>
            <w:tcW w:type="dxa" w:w="158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5–7 мин</w:t>
            </w:r>
          </w:p>
        </w:tc>
        <w:tc>
          <w:tcPr>
            <w:tcW w:type="dxa" w:w="1417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Сниженная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Закрепление, рефлексия, инструктаж по ДЗ</w:t>
            </w:r>
          </w:p>
        </w:tc>
        <w:tc>
          <w:tcPr>
            <w:tcW w:type="dxa" w:w="2268"/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sz w:val="20"/>
              </w:rPr>
              <w:t>Фронтальная, индивидуальная, парная</w:t>
            </w:r>
          </w:p>
        </w:tc>
      </w:tr>
    </w:tbl>
    <w:p>
      <w:pPr>
        <w:spacing w:before="240" w:after="120"/>
      </w:pPr>
      <w:r>
        <w:rPr>
          <w:rFonts w:ascii="Times New Roman" w:hAnsi="Times New Roman" w:eastAsia="Times New Roman"/>
          <w:b/>
          <w:sz w:val="26"/>
        </w:rPr>
        <w:t>3.5. Дополнительные рекомендации по структуре урока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Чередование видов деятельности.</w:t>
      </w:r>
    </w:p>
    <w:p>
      <w:pPr>
        <w:spacing w:after="20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Гигиенически рациональным считается использование 4–7 видов учебной деятельности на уроке. Смена видов деятельности должна проводиться каждые 7–10 минут. Использование 1–2 видов — нерационально.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Плотность урока.</w:t>
      </w:r>
    </w:p>
    <w:p>
      <w:pPr>
        <w:spacing w:after="20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Не менее 60% и не более 75–80% времени затрачивается на учебную работу.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Максимальная продолжительность непрерывного письма: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1 класс — 10 минут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2–4 классы — 15–20 минут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8–11 классы — 25–30 минут</w:t>
      </w:r>
    </w:p>
    <w:p>
      <w:pPr>
        <w:spacing w:after="120"/>
      </w:pP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Выбор физкультминутки по преобладающему виду деятельности: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Письмо — </w:t>
      </w:r>
      <w:r>
        <w:rPr>
          <w:rFonts w:ascii="Times New Roman" w:hAnsi="Times New Roman" w:eastAsia="Times New Roman"/>
          <w:sz w:val="24"/>
        </w:rPr>
        <w:t>упражнения для снятия общего и локального утомления, для кистей рук.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Чтение — </w:t>
      </w:r>
      <w:r>
        <w:rPr>
          <w:rFonts w:ascii="Times New Roman" w:hAnsi="Times New Roman" w:eastAsia="Times New Roman"/>
          <w:sz w:val="24"/>
        </w:rPr>
        <w:t>гимнастика для глаз.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• </w:t>
      </w:r>
      <w:r>
        <w:rPr>
          <w:rFonts w:ascii="Times New Roman" w:hAnsi="Times New Roman" w:eastAsia="Times New Roman"/>
          <w:b/>
          <w:sz w:val="24"/>
        </w:rPr>
        <w:t xml:space="preserve">Слушание и говорение — </w:t>
      </w:r>
      <w:r>
        <w:rPr>
          <w:rFonts w:ascii="Times New Roman" w:hAnsi="Times New Roman" w:eastAsia="Times New Roman"/>
          <w:sz w:val="24"/>
        </w:rPr>
        <w:t>гимнастика для слуха, дыхательные упражнения.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Расписание уроков с учётом работоспособности: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Наиболее высокая работоспособность у 1–4 классов — на 2–3 уроках.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Предметы, основанные на вербальном преподавании (русский язык, математика), ставить на начало учебного дня.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Контрольные работы и новый сложный материал — не на 1-й и не на последний урок.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Чередовать предметы статической и двигательной направленности (1–4 классы), естественно-математические и гуманитарные (5–11 классы).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>• Не ставить подряд два-три урока с высоким рангом трудности (например, физика и химия).</w:t>
      </w:r>
    </w:p>
    <w:p>
      <w:pPr>
        <w:spacing w:after="120"/>
        <w:jc w:val="both"/>
      </w:pPr>
      <w:r>
        <w:rPr>
          <w:rFonts w:ascii="Times New Roman" w:hAnsi="Times New Roman" w:eastAsia="Times New Roman"/>
          <w:b/>
          <w:i w:val="0"/>
          <w:sz w:val="24"/>
        </w:rPr>
        <w:t>Недельная динамика: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понедельник — врабатывание, вторник–среда — оптимум, четверг — рост напряжения и снижение эффективности, пятница — наименьшая работоспособность.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8"/>
        </w:rPr>
        <w:t>4. Контроль и оценка эффективности</w:t>
      </w:r>
    </w:p>
    <w:p>
      <w:pPr>
        <w:spacing w:after="12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Для оценки правильности организации урока с точки зрения физиологической обоснованности рекомендуется анализировать три параметра: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1. </w:t>
      </w:r>
      <w:r>
        <w:rPr>
          <w:rFonts w:ascii="Times New Roman" w:hAnsi="Times New Roman" w:eastAsia="Times New Roman"/>
          <w:b/>
          <w:sz w:val="24"/>
        </w:rPr>
        <w:t xml:space="preserve">Трудность — </w:t>
      </w:r>
      <w:r>
        <w:rPr>
          <w:rFonts w:ascii="Times New Roman" w:hAnsi="Times New Roman" w:eastAsia="Times New Roman"/>
          <w:sz w:val="24"/>
        </w:rPr>
        <w:t>объективное свойство урока: объём знаний, умений и навыков, интенсивность работы.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2. </w:t>
      </w:r>
      <w:r>
        <w:rPr>
          <w:rFonts w:ascii="Times New Roman" w:hAnsi="Times New Roman" w:eastAsia="Times New Roman"/>
          <w:b/>
          <w:sz w:val="24"/>
        </w:rPr>
        <w:t xml:space="preserve">Утомительность — </w:t>
      </w:r>
      <w:r>
        <w:rPr>
          <w:rFonts w:ascii="Times New Roman" w:hAnsi="Times New Roman" w:eastAsia="Times New Roman"/>
          <w:sz w:val="24"/>
        </w:rPr>
        <w:t>субъективный показатель: функциональная стоимость урока для каждого ученика.</w:t>
      </w:r>
    </w:p>
    <w:p>
      <w:pPr>
        <w:spacing w:after="60"/>
        <w:ind w:left="709"/>
        <w:jc w:val="both"/>
      </w:pPr>
      <w:r>
        <w:rPr>
          <w:rFonts w:ascii="Times New Roman" w:hAnsi="Times New Roman" w:eastAsia="Times New Roman"/>
          <w:sz w:val="24"/>
        </w:rPr>
        <w:t xml:space="preserve">3. </w:t>
      </w:r>
      <w:r>
        <w:rPr>
          <w:rFonts w:ascii="Times New Roman" w:hAnsi="Times New Roman" w:eastAsia="Times New Roman"/>
          <w:b/>
          <w:sz w:val="24"/>
        </w:rPr>
        <w:t xml:space="preserve">Насыщенность и эмоциональность — </w:t>
      </w:r>
      <w:r>
        <w:rPr>
          <w:rFonts w:ascii="Times New Roman" w:hAnsi="Times New Roman" w:eastAsia="Times New Roman"/>
          <w:sz w:val="24"/>
        </w:rPr>
        <w:t>степень насыщения учебными элементами и эмоциональный фон урока.</w:t>
      </w:r>
    </w:p>
    <w:p>
      <w:pPr>
        <w:spacing w:after="200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sz w:val="24"/>
        </w:rPr>
        <w:t>Урок, организованный на основе принципов здоровьесбережения, не должен приводить к сильным и выраженным формам утомления у обучающихся к его окончанию.</w:t>
      </w:r>
    </w:p>
    <w:p>
      <w:pPr>
        <w:spacing w:before="240" w:after="120"/>
      </w:pPr>
      <w:r>
        <w:rPr>
          <w:rFonts w:ascii="Times New Roman" w:hAnsi="Times New Roman" w:eastAsia="Times New Roman"/>
          <w:b/>
          <w:sz w:val="28"/>
        </w:rPr>
        <w:t>5. Краткий чек-лист для учителя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На уроке используется не менее 4–7 видов учебной деятельности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Смена видов деятельности — каждые 7–10 минут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Первый этап урока (7–10 мин) — врабатывание: повторение, проверка ДЗ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Основная нагрузка (20–30 мин) — в середине урока: новый материал, практика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Физкультминутка проведена примерно через 20 минут от начала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Заключительная часть (5–7 мин) — закрепление, рефлексия, инструктаж по ДЗ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Формы работы чередуются: фронтальная → групповая/индивидуальная → парная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Плотность урока — 60–80%</w:t>
      </w:r>
    </w:p>
    <w:p>
      <w:pPr>
        <w:spacing w:after="60"/>
        <w:ind w:left="709"/>
      </w:pPr>
      <w:r>
        <w:rPr>
          <w:rFonts w:ascii="Times New Roman" w:hAnsi="Times New Roman" w:eastAsia="Times New Roman"/>
          <w:sz w:val="24"/>
        </w:rPr>
        <w:t>☐  Форма работы соответствует возрасту (см. таблицу в разделе 2.6)</w:t>
      </w:r>
    </w:p>
    <w:p>
      <w:r>
        <w:br w:type="page"/>
      </w:r>
    </w:p>
    <w:p>
      <w:pPr>
        <w:spacing w:before="0" w:after="120"/>
      </w:pPr>
      <w:r>
        <w:rPr>
          <w:rFonts w:ascii="Times New Roman" w:hAnsi="Times New Roman" w:eastAsia="Times New Roman"/>
          <w:b/>
          <w:sz w:val="28"/>
        </w:rPr>
        <w:t>Источники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1. Методические рекомендации МР 2.4.0331–23 «2.4. Гигиена детей и подростков» (утв. Роспотребнадзором).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2. СП 2.4.3648–21 «Санитарно-эпидемиологические требования к организации воспитания и обучения, отдыха и оздоровления детей и молодёжи».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3. СанПиН 1.2.3685–21 «Гигиенические нормативы и требования к обеспечению безопасности и (или) безвредности для человека факторов среды обитания».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4. Федеральный государственный образовательный стандарт начального общего образования (утв. приказом Минпросвещения РФ от 31.05.2021 № 286).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5. Федеральный государственный образовательный стандарт основного общего образования (утв. приказом Минпросвещения РФ от 31.05.2021 № 287).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6. Федеральный государственный образовательный стандарт среднего общего образования (утв. приказом Минпросвещения РФ от 17.05.2012 № 413, с изменениями).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7. Методические рекомендации по организации учебной проектно-исследовательской деятельности в образовательных организациях / Единое содержание общего образования (edsoo.ru).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8. Смирнов Н.К. Здоровьесберегающие образовательные технологии в работе учителя и школы. — М.: АРКТИ, 2003.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9. Безруких М.М. Физиология развития ребёнка: учебное пособие. — М.: Академия, 2008.</w:t>
      </w:r>
    </w:p>
    <w:p>
      <w:pPr>
        <w:spacing w:after="80"/>
        <w:ind w:left="709" w:hanging="709"/>
        <w:jc w:val="both"/>
      </w:pPr>
      <w:r>
        <w:rPr>
          <w:rFonts w:ascii="Times New Roman" w:hAnsi="Times New Roman" w:eastAsia="Times New Roman"/>
          <w:sz w:val="22"/>
        </w:rPr>
        <w:t>10. Методическая разработка по организации проектной и исследовательской деятельности / КИРО ИПК ПРО (bpo.kirovipk.ru).</w:t>
      </w:r>
    </w:p>
    <w:p/>
    <w:p/>
    <w:p>
      <w:pPr>
        <w:jc w:val="left"/>
      </w:pPr>
      <w:r>
        <w:rPr>
          <w:rFonts w:ascii="Times New Roman" w:hAnsi="Times New Roman" w:eastAsia="Times New Roman"/>
          <w:sz w:val="24"/>
        </w:rPr>
        <w:t xml:space="preserve">Составитель: </w:t>
      </w:r>
      <w:r>
        <w:rPr>
          <w:rFonts w:ascii="Times New Roman" w:hAnsi="Times New Roman" w:eastAsia="Times New Roman"/>
          <w:b/>
          <w:sz w:val="24"/>
        </w:rPr>
        <w:t>МБУ «Информационно-методический центр» муниципального образования городской округ Керчь Республики Крым</w:t>
      </w:r>
    </w:p>
    <w:p>
      <w:pPr>
        <w:jc w:val="left"/>
      </w:pPr>
      <w:r>
        <w:rPr>
          <w:rFonts w:ascii="Times New Roman" w:hAnsi="Times New Roman"/>
          <w:i/>
          <w:sz w:val="24"/>
        </w:rPr>
        <w:t>г. Керчь, 2026 г.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0" w:before="0"/>
    </w:pPr>
    <w:rPr>
      <w:rFonts w:ascii="Times New Roman" w:hAnsi="Times New Roman" w:eastAsia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